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9F" w:rsidRDefault="000A399F" w:rsidP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 w:rsidP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 w:rsidP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 w:rsidP="000A3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99F" w:rsidRPr="000A399F" w:rsidRDefault="009E0BAA" w:rsidP="000A3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9F">
        <w:rPr>
          <w:rFonts w:ascii="Times New Roman" w:hAnsi="Times New Roman" w:cs="Times New Roman"/>
          <w:b/>
          <w:sz w:val="24"/>
          <w:szCs w:val="24"/>
        </w:rPr>
        <w:t>Musculoskeletal Disease-Related – Osteoporosis</w:t>
      </w:r>
    </w:p>
    <w:p w:rsidR="000A399F" w:rsidRDefault="000A399F" w:rsidP="000A399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399F" w:rsidRPr="00053829" w:rsidRDefault="009E0BAA" w:rsidP="000A399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53829">
        <w:rPr>
          <w:rFonts w:ascii="Times New Roman" w:hAnsi="Times New Roman" w:cs="Times New Roman"/>
          <w:sz w:val="24"/>
          <w:szCs w:val="24"/>
        </w:rPr>
        <w:t>s Name</w:t>
      </w:r>
    </w:p>
    <w:p w:rsidR="000A399F" w:rsidRPr="00053829" w:rsidRDefault="009E0BAA" w:rsidP="000A399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A399F" w:rsidRPr="00053829" w:rsidRDefault="009E0BAA" w:rsidP="000A399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53829">
        <w:rPr>
          <w:rFonts w:ascii="Times New Roman" w:hAnsi="Times New Roman" w:cs="Times New Roman"/>
          <w:sz w:val="24"/>
          <w:szCs w:val="24"/>
        </w:rPr>
        <w:t>s Name</w:t>
      </w:r>
    </w:p>
    <w:p w:rsidR="000A399F" w:rsidRPr="00053829" w:rsidRDefault="009E0BAA" w:rsidP="000A399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Course Name and Number</w:t>
      </w:r>
    </w:p>
    <w:p w:rsidR="000A399F" w:rsidRDefault="009E0BAA" w:rsidP="000A39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Assignment Due Date</w:t>
      </w:r>
    </w:p>
    <w:p w:rsidR="000A399F" w:rsidRDefault="000A399F" w:rsidP="000A39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0A399F" w:rsidRDefault="000A399F">
      <w:pPr>
        <w:rPr>
          <w:rFonts w:ascii="Times New Roman" w:hAnsi="Times New Roman" w:cs="Times New Roman"/>
          <w:b/>
          <w:sz w:val="24"/>
          <w:szCs w:val="24"/>
        </w:rPr>
      </w:pPr>
    </w:p>
    <w:p w:rsidR="00261C50" w:rsidRDefault="00261C50" w:rsidP="00D21E15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C50" w:rsidRDefault="00261C50" w:rsidP="00D21E15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C50" w:rsidRDefault="00261C50" w:rsidP="00D21E15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C50" w:rsidRDefault="00261C50" w:rsidP="00D21E15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8F6" w:rsidRPr="000A399F" w:rsidRDefault="009E0BAA" w:rsidP="00D21E15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9F">
        <w:rPr>
          <w:rFonts w:ascii="Times New Roman" w:hAnsi="Times New Roman" w:cs="Times New Roman"/>
          <w:b/>
          <w:sz w:val="24"/>
          <w:szCs w:val="24"/>
        </w:rPr>
        <w:lastRenderedPageBreak/>
        <w:t>Musculoskeletal Disease</w:t>
      </w:r>
      <w:r w:rsidR="00481CC5" w:rsidRPr="000A399F">
        <w:rPr>
          <w:rFonts w:ascii="Times New Roman" w:hAnsi="Times New Roman" w:cs="Times New Roman"/>
          <w:b/>
          <w:sz w:val="24"/>
          <w:szCs w:val="24"/>
        </w:rPr>
        <w:t>-</w:t>
      </w:r>
      <w:r w:rsidRPr="000A399F">
        <w:rPr>
          <w:rFonts w:ascii="Times New Roman" w:hAnsi="Times New Roman" w:cs="Times New Roman"/>
          <w:b/>
          <w:sz w:val="24"/>
          <w:szCs w:val="24"/>
        </w:rPr>
        <w:t>Related – Osteoporosis</w:t>
      </w:r>
    </w:p>
    <w:p w:rsidR="006514EE" w:rsidRDefault="009E0BAA" w:rsidP="00D853F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843EA">
        <w:rPr>
          <w:rFonts w:ascii="Times New Roman" w:hAnsi="Times New Roman" w:cs="Times New Roman"/>
          <w:b/>
          <w:sz w:val="24"/>
          <w:szCs w:val="24"/>
        </w:rPr>
        <w:t>he anatomy</w:t>
      </w:r>
      <w:r w:rsidR="00F843EA" w:rsidRPr="00F843EA">
        <w:rPr>
          <w:rFonts w:ascii="Times New Roman" w:hAnsi="Times New Roman" w:cs="Times New Roman"/>
          <w:b/>
          <w:sz w:val="24"/>
          <w:szCs w:val="24"/>
        </w:rPr>
        <w:t>, functions</w:t>
      </w:r>
      <w:r w:rsidR="00481CC5">
        <w:rPr>
          <w:rFonts w:ascii="Times New Roman" w:hAnsi="Times New Roman" w:cs="Times New Roman"/>
          <w:b/>
          <w:sz w:val="24"/>
          <w:szCs w:val="24"/>
        </w:rPr>
        <w:t>,</w:t>
      </w:r>
      <w:r w:rsidR="00F843EA" w:rsidRPr="00F843EA">
        <w:rPr>
          <w:rFonts w:ascii="Times New Roman" w:hAnsi="Times New Roman" w:cs="Times New Roman"/>
          <w:b/>
          <w:sz w:val="24"/>
          <w:szCs w:val="24"/>
        </w:rPr>
        <w:t xml:space="preserve"> and physiology of</w:t>
      </w:r>
      <w:r w:rsidRPr="00F8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3EA">
        <w:rPr>
          <w:rFonts w:ascii="Times New Roman" w:hAnsi="Times New Roman" w:cs="Times New Roman"/>
          <w:b/>
          <w:sz w:val="24"/>
          <w:szCs w:val="24"/>
        </w:rPr>
        <w:t xml:space="preserve">Musculoskeletal </w:t>
      </w:r>
      <w:r w:rsidR="00C5514D" w:rsidRPr="00F843EA">
        <w:rPr>
          <w:rFonts w:ascii="Times New Roman" w:hAnsi="Times New Roman" w:cs="Times New Roman"/>
          <w:b/>
          <w:sz w:val="24"/>
          <w:szCs w:val="24"/>
        </w:rPr>
        <w:t>System</w:t>
      </w:r>
      <w:r w:rsidR="00C749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43EA" w:rsidRDefault="009E0BAA" w:rsidP="00D853F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musculoskeletal system comprises the skeleton (bones), </w:t>
      </w:r>
      <w:r w:rsidR="006E4429">
        <w:rPr>
          <w:rFonts w:ascii="Times New Roman" w:hAnsi="Times New Roman" w:cs="Times New Roman"/>
          <w:sz w:val="24"/>
          <w:szCs w:val="24"/>
        </w:rPr>
        <w:t xml:space="preserve">muscles, </w:t>
      </w:r>
      <w:r>
        <w:rPr>
          <w:rFonts w:ascii="Times New Roman" w:hAnsi="Times New Roman" w:cs="Times New Roman"/>
          <w:sz w:val="24"/>
          <w:szCs w:val="24"/>
        </w:rPr>
        <w:t>ligaments, cartilage, and tendons that form the body</w:t>
      </w:r>
      <w:r w:rsidR="000A399F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framework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(Hudson &amp; Hamilto, 2017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 skeleton </w:t>
      </w:r>
      <w:r w:rsidR="005D01CC">
        <w:rPr>
          <w:rFonts w:ascii="Times New Roman" w:hAnsi="Times New Roman" w:cs="Times New Roman"/>
          <w:sz w:val="24"/>
          <w:szCs w:val="24"/>
        </w:rPr>
        <w:t xml:space="preserve">plays an essential role in the storage of phosphorus and calcium. </w:t>
      </w:r>
      <w:r w:rsidR="006E4429">
        <w:rPr>
          <w:rFonts w:ascii="Times New Roman" w:hAnsi="Times New Roman" w:cs="Times New Roman"/>
          <w:sz w:val="24"/>
          <w:szCs w:val="24"/>
        </w:rPr>
        <w:t>When the concentration of these minerals is high</w:t>
      </w:r>
      <w:r w:rsidR="00481CC5">
        <w:rPr>
          <w:rFonts w:ascii="Times New Roman" w:hAnsi="Times New Roman" w:cs="Times New Roman"/>
          <w:sz w:val="24"/>
          <w:szCs w:val="24"/>
        </w:rPr>
        <w:t>, they are stored in the bones, but they are taken away from the bones in case the concentration is 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1CC5">
        <w:rPr>
          <w:rFonts w:ascii="Times New Roman" w:hAnsi="Times New Roman" w:cs="Times New Roman"/>
          <w:sz w:val="24"/>
          <w:szCs w:val="24"/>
        </w:rPr>
        <w:t>In addition, t</w:t>
      </w:r>
      <w:r w:rsidR="005D01CC">
        <w:rPr>
          <w:rFonts w:ascii="Times New Roman" w:hAnsi="Times New Roman" w:cs="Times New Roman"/>
          <w:sz w:val="24"/>
          <w:szCs w:val="24"/>
        </w:rPr>
        <w:t xml:space="preserve">hese minerals help in maintaining mineral balance in the blood system. Also, </w:t>
      </w:r>
      <w:r w:rsidR="00481CC5">
        <w:rPr>
          <w:rFonts w:ascii="Times New Roman" w:hAnsi="Times New Roman" w:cs="Times New Roman"/>
          <w:sz w:val="24"/>
          <w:szCs w:val="24"/>
        </w:rPr>
        <w:t xml:space="preserve">the </w:t>
      </w:r>
      <w:r w:rsidR="005D01CC">
        <w:rPr>
          <w:rFonts w:ascii="Times New Roman" w:hAnsi="Times New Roman" w:cs="Times New Roman"/>
          <w:sz w:val="24"/>
          <w:szCs w:val="24"/>
        </w:rPr>
        <w:t>hematopoietic system is contained in the skeleton in the long bones.</w:t>
      </w:r>
    </w:p>
    <w:p w:rsidR="00F843EA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hematopoietic system has red and yellow bone marrow. The red bone marrow is the site where </w:t>
      </w:r>
      <w:r w:rsidR="00481C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production of blood cells take</w:t>
      </w:r>
      <w:r w:rsidR="00481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place. The blood cells produced in these sites are leukocyte</w:t>
      </w:r>
      <w:r w:rsidR="00481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platelets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erythrocytes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they migrate to the circulation system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(Hudson &amp; Hamilto, 2017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 yellow muscles comprise fatty connective tissues and </w:t>
      </w:r>
      <w:r w:rsidR="00481CC5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located in the marrow cavity. In</w:t>
      </w:r>
      <w:r w:rsidR="0048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case of starvation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body may use the fat in yellow marrow to produce energy.</w:t>
      </w:r>
    </w:p>
    <w:p w:rsidR="006E4429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different types of muscles</w:t>
      </w:r>
      <w:r w:rsidR="00481CC5">
        <w:rPr>
          <w:rFonts w:ascii="Times New Roman" w:hAnsi="Times New Roman" w:cs="Times New Roman"/>
          <w:sz w:val="24"/>
          <w:szCs w:val="24"/>
        </w:rPr>
        <w:t>. H</w:t>
      </w:r>
      <w:r>
        <w:rPr>
          <w:rFonts w:ascii="Times New Roman" w:hAnsi="Times New Roman" w:cs="Times New Roman"/>
          <w:sz w:val="24"/>
          <w:szCs w:val="24"/>
        </w:rPr>
        <w:t xml:space="preserve">owever, only skeletal and smooth muscles are part of the skeletal system. Skeletal muscles are attached to bones and play a </w:t>
      </w:r>
      <w:r w:rsidR="00481CC5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role in movement. Smooth muscles have unique characteristics that move involuntar</w:t>
      </w:r>
      <w:r w:rsidR="00481CC5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y under the impact of conscious control. </w:t>
      </w:r>
      <w:r w:rsidR="005D01CC">
        <w:rPr>
          <w:rFonts w:ascii="Times New Roman" w:hAnsi="Times New Roman" w:cs="Times New Roman"/>
          <w:sz w:val="24"/>
          <w:szCs w:val="24"/>
        </w:rPr>
        <w:t>Ligaments join the bones together to form a joint</w:t>
      </w:r>
      <w:r w:rsidR="00BD7DAB" w:rsidRPr="00BD7DAB">
        <w:rPr>
          <w:rFonts w:ascii="Times New Roman" w:hAnsi="Times New Roman" w:cs="Times New Roman"/>
          <w:sz w:val="24"/>
          <w:szCs w:val="24"/>
        </w:rPr>
        <w:t xml:space="preserve"> (Hudson &amp; Hamilto, 2017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 w:rsidR="005D01CC">
        <w:rPr>
          <w:rFonts w:ascii="Times New Roman" w:hAnsi="Times New Roman" w:cs="Times New Roman"/>
          <w:sz w:val="24"/>
          <w:szCs w:val="24"/>
        </w:rPr>
        <w:t xml:space="preserve">. The ligaments are made </w:t>
      </w:r>
      <w:r>
        <w:rPr>
          <w:rFonts w:ascii="Times New Roman" w:hAnsi="Times New Roman" w:cs="Times New Roman"/>
          <w:sz w:val="24"/>
          <w:szCs w:val="24"/>
        </w:rPr>
        <w:t>with fibrous tissue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their </w:t>
      </w:r>
      <w:r w:rsidR="00481CC5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 xml:space="preserve"> role is to prevent joint dislocation and prevent inappropriate hyperextension and hyperflexion. Ligaments are dense white bundle</w:t>
      </w:r>
      <w:r w:rsidR="00481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fibrous elastic tissues. The joints are bone articulations that allow movements. Finally, the tendons are tough fibro</w:t>
      </w:r>
      <w:r>
        <w:rPr>
          <w:rFonts w:ascii="Times New Roman" w:hAnsi="Times New Roman" w:cs="Times New Roman"/>
          <w:sz w:val="24"/>
          <w:szCs w:val="24"/>
        </w:rPr>
        <w:t>us connective tissues that connect muscles with bones.</w:t>
      </w:r>
    </w:p>
    <w:p w:rsidR="00BD7DAB" w:rsidRDefault="00BD7DAB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32AE7" w:rsidRPr="00A32AE7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32A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 image showing the anatomy of </w:t>
      </w:r>
      <w:r w:rsidR="00481CC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A32AE7">
        <w:rPr>
          <w:rFonts w:ascii="Times New Roman" w:hAnsi="Times New Roman" w:cs="Times New Roman"/>
          <w:i/>
          <w:sz w:val="24"/>
          <w:szCs w:val="24"/>
        </w:rPr>
        <w:t>musculoskeletal system</w:t>
      </w:r>
    </w:p>
    <w:p w:rsidR="00A32AE7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25818" cy="6651587"/>
            <wp:effectExtent l="0" t="0" r="0" b="0"/>
            <wp:docPr id="2" name="Picture 2" descr="The musculoskeletal system review (article) | Kha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The musculoskeletal system review (article) | Khan Acade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047" cy="669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AB" w:rsidRDefault="00BD7DAB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7DAB" w:rsidRDefault="00BD7DAB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06AE6" w:rsidRPr="00E07A65" w:rsidRDefault="009E0BAA" w:rsidP="00B8372B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pathology </w:t>
      </w:r>
      <w:r w:rsidR="00481CC5">
        <w:rPr>
          <w:rFonts w:ascii="Times New Roman" w:hAnsi="Times New Roman" w:cs="Times New Roman"/>
          <w:b/>
          <w:sz w:val="24"/>
          <w:szCs w:val="24"/>
        </w:rPr>
        <w:t xml:space="preserve">and Assessment </w:t>
      </w:r>
      <w:r w:rsidRPr="00E07A65">
        <w:rPr>
          <w:rFonts w:ascii="Times New Roman" w:hAnsi="Times New Roman" w:cs="Times New Roman"/>
          <w:b/>
          <w:sz w:val="24"/>
          <w:szCs w:val="24"/>
        </w:rPr>
        <w:t>of Osteoporosis</w:t>
      </w:r>
    </w:p>
    <w:p w:rsidR="00D1786A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Osteoporosis is a metabolic bone disorder that causes skeletal fragility and is </w:t>
      </w:r>
      <w:r>
        <w:rPr>
          <w:rFonts w:ascii="Times New Roman" w:hAnsi="Times New Roman" w:cs="Times New Roman"/>
          <w:sz w:val="24"/>
          <w:szCs w:val="24"/>
        </w:rPr>
        <w:t>characterized by reduc</w:t>
      </w:r>
      <w:r w:rsidR="00481CC5">
        <w:rPr>
          <w:rFonts w:ascii="Times New Roman" w:hAnsi="Times New Roman" w:cs="Times New Roman"/>
          <w:sz w:val="24"/>
          <w:szCs w:val="24"/>
        </w:rPr>
        <w:t>ing bone mass and reducing bone tissues,</w:t>
      </w:r>
      <w:r>
        <w:rPr>
          <w:rFonts w:ascii="Times New Roman" w:hAnsi="Times New Roman" w:cs="Times New Roman"/>
          <w:sz w:val="24"/>
          <w:szCs w:val="24"/>
        </w:rPr>
        <w:t xml:space="preserve"> which increases the risk of fracture. </w:t>
      </w:r>
      <w:r w:rsidR="00D21E15">
        <w:rPr>
          <w:rFonts w:ascii="Times New Roman" w:hAnsi="Times New Roman" w:cs="Times New Roman"/>
          <w:sz w:val="24"/>
          <w:szCs w:val="24"/>
        </w:rPr>
        <w:t>As a result, t</w:t>
      </w:r>
      <w:r w:rsidR="003F63F8">
        <w:rPr>
          <w:rFonts w:ascii="Times New Roman" w:hAnsi="Times New Roman" w:cs="Times New Roman"/>
          <w:sz w:val="24"/>
          <w:szCs w:val="24"/>
        </w:rPr>
        <w:t xml:space="preserve">he </w:t>
      </w:r>
      <w:r w:rsidR="008E747C">
        <w:rPr>
          <w:rFonts w:ascii="Times New Roman" w:hAnsi="Times New Roman" w:cs="Times New Roman"/>
          <w:sz w:val="24"/>
          <w:szCs w:val="24"/>
        </w:rPr>
        <w:t xml:space="preserve">condition has become a </w:t>
      </w:r>
      <w:r w:rsidR="00481CC5">
        <w:rPr>
          <w:rFonts w:ascii="Times New Roman" w:hAnsi="Times New Roman" w:cs="Times New Roman"/>
          <w:sz w:val="24"/>
          <w:szCs w:val="24"/>
        </w:rPr>
        <w:t>significant</w:t>
      </w:r>
      <w:r w:rsidR="008E747C">
        <w:rPr>
          <w:rFonts w:ascii="Times New Roman" w:hAnsi="Times New Roman" w:cs="Times New Roman"/>
          <w:sz w:val="24"/>
          <w:szCs w:val="24"/>
        </w:rPr>
        <w:t xml:space="preserve"> public health concern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(Akkawi &amp; Zmerly, 2018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 w:rsidR="008E747C">
        <w:rPr>
          <w:rFonts w:ascii="Times New Roman" w:hAnsi="Times New Roman" w:cs="Times New Roman"/>
          <w:sz w:val="24"/>
          <w:szCs w:val="24"/>
        </w:rPr>
        <w:t>. The disease is caused by reduced estrogen levels that cause bones to turnover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8E747C">
        <w:rPr>
          <w:rFonts w:ascii="Times New Roman" w:hAnsi="Times New Roman" w:cs="Times New Roman"/>
          <w:sz w:val="24"/>
          <w:szCs w:val="24"/>
        </w:rPr>
        <w:t xml:space="preserve"> and resorption is high</w:t>
      </w:r>
      <w:r w:rsidR="00481CC5">
        <w:rPr>
          <w:rFonts w:ascii="Times New Roman" w:hAnsi="Times New Roman" w:cs="Times New Roman"/>
          <w:sz w:val="24"/>
          <w:szCs w:val="24"/>
        </w:rPr>
        <w:t>er than</w:t>
      </w:r>
      <w:r w:rsidR="008E747C">
        <w:rPr>
          <w:rFonts w:ascii="Times New Roman" w:hAnsi="Times New Roman" w:cs="Times New Roman"/>
          <w:sz w:val="24"/>
          <w:szCs w:val="24"/>
        </w:rPr>
        <w:t xml:space="preserve"> bone formation. Estrogen hormone plays a </w:t>
      </w:r>
      <w:r w:rsidR="00481CC5">
        <w:rPr>
          <w:rFonts w:ascii="Times New Roman" w:hAnsi="Times New Roman" w:cs="Times New Roman"/>
          <w:sz w:val="24"/>
          <w:szCs w:val="24"/>
        </w:rPr>
        <w:t>significant</w:t>
      </w:r>
      <w:r w:rsidR="008E747C">
        <w:rPr>
          <w:rFonts w:ascii="Times New Roman" w:hAnsi="Times New Roman" w:cs="Times New Roman"/>
          <w:sz w:val="24"/>
          <w:szCs w:val="24"/>
        </w:rPr>
        <w:t xml:space="preserve"> role in helping to build and maintain healthy bones</w:t>
      </w:r>
      <w:r w:rsidR="00D21E15">
        <w:rPr>
          <w:rFonts w:ascii="Times New Roman" w:hAnsi="Times New Roman" w:cs="Times New Roman"/>
          <w:sz w:val="24"/>
          <w:szCs w:val="24"/>
        </w:rPr>
        <w:t xml:space="preserve"> </w:t>
      </w:r>
      <w:r w:rsidR="00D21E15" w:rsidRPr="00BD7DAB">
        <w:rPr>
          <w:rFonts w:ascii="Times New Roman" w:hAnsi="Times New Roman" w:cs="Times New Roman"/>
          <w:sz w:val="24"/>
          <w:szCs w:val="24"/>
        </w:rPr>
        <w:t>(Yu &amp; Wang, 2016</w:t>
      </w:r>
      <w:r w:rsidR="00D21E15">
        <w:rPr>
          <w:rFonts w:ascii="Times New Roman" w:hAnsi="Times New Roman" w:cs="Times New Roman"/>
          <w:sz w:val="24"/>
          <w:szCs w:val="24"/>
        </w:rPr>
        <w:t>)</w:t>
      </w:r>
      <w:r w:rsidR="008E747C">
        <w:rPr>
          <w:rFonts w:ascii="Times New Roman" w:hAnsi="Times New Roman" w:cs="Times New Roman"/>
          <w:sz w:val="24"/>
          <w:szCs w:val="24"/>
        </w:rPr>
        <w:t xml:space="preserve">. </w:t>
      </w:r>
      <w:r w:rsidR="00481CC5">
        <w:rPr>
          <w:rFonts w:ascii="Times New Roman" w:hAnsi="Times New Roman" w:cs="Times New Roman"/>
          <w:sz w:val="24"/>
          <w:szCs w:val="24"/>
        </w:rPr>
        <w:t>However, i</w:t>
      </w:r>
      <w:r w:rsidR="008E747C">
        <w:rPr>
          <w:rFonts w:ascii="Times New Roman" w:hAnsi="Times New Roman" w:cs="Times New Roman"/>
          <w:sz w:val="24"/>
          <w:szCs w:val="24"/>
        </w:rPr>
        <w:t>n women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8E747C">
        <w:rPr>
          <w:rFonts w:ascii="Times New Roman" w:hAnsi="Times New Roman" w:cs="Times New Roman"/>
          <w:sz w:val="24"/>
          <w:szCs w:val="24"/>
        </w:rPr>
        <w:t xml:space="preserve"> estrogen levels drop as they reach menopause. Also, the condition is caused by corticosteroids that affect the bones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8E747C">
        <w:rPr>
          <w:rFonts w:ascii="Times New Roman" w:hAnsi="Times New Roman" w:cs="Times New Roman"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sz w:val="24"/>
          <w:szCs w:val="24"/>
        </w:rPr>
        <w:t>resulting</w:t>
      </w:r>
      <w:r w:rsidR="008E747C">
        <w:rPr>
          <w:rFonts w:ascii="Times New Roman" w:hAnsi="Times New Roman" w:cs="Times New Roman"/>
          <w:sz w:val="24"/>
          <w:szCs w:val="24"/>
        </w:rPr>
        <w:t xml:space="preserve"> from unpredicted osteoblastic.</w:t>
      </w:r>
    </w:p>
    <w:p w:rsidR="008E747C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condition can affect both male</w:t>
      </w:r>
      <w:r w:rsidR="00481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females of all races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sz w:val="24"/>
          <w:szCs w:val="24"/>
        </w:rPr>
        <w:t>and it</w:t>
      </w:r>
      <w:r>
        <w:rPr>
          <w:rFonts w:ascii="Times New Roman" w:hAnsi="Times New Roman" w:cs="Times New Roman"/>
          <w:sz w:val="24"/>
          <w:szCs w:val="24"/>
        </w:rPr>
        <w:t xml:space="preserve"> is age</w:t>
      </w:r>
      <w:r w:rsidR="00481C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related.</w:t>
      </w:r>
      <w:r w:rsidR="006D549F">
        <w:rPr>
          <w:rFonts w:ascii="Times New Roman" w:hAnsi="Times New Roman" w:cs="Times New Roman"/>
          <w:sz w:val="24"/>
          <w:szCs w:val="24"/>
        </w:rPr>
        <w:t xml:space="preserve"> The disorder affects </w:t>
      </w:r>
      <w:r w:rsidR="006C27A2">
        <w:rPr>
          <w:rFonts w:ascii="Times New Roman" w:hAnsi="Times New Roman" w:cs="Times New Roman"/>
          <w:sz w:val="24"/>
          <w:szCs w:val="24"/>
        </w:rPr>
        <w:t>the hip, spine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6C27A2">
        <w:rPr>
          <w:rFonts w:ascii="Times New Roman" w:hAnsi="Times New Roman" w:cs="Times New Roman"/>
          <w:sz w:val="24"/>
          <w:szCs w:val="24"/>
        </w:rPr>
        <w:t xml:space="preserve"> or wrist mostly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6C27A2">
        <w:rPr>
          <w:rFonts w:ascii="Times New Roman" w:hAnsi="Times New Roman" w:cs="Times New Roman"/>
          <w:sz w:val="24"/>
          <w:szCs w:val="24"/>
        </w:rPr>
        <w:t xml:space="preserve"> even though other bones can be affected</w:t>
      </w:r>
      <w:r w:rsidR="00D21E15">
        <w:rPr>
          <w:rFonts w:ascii="Times New Roman" w:hAnsi="Times New Roman" w:cs="Times New Roman"/>
          <w:sz w:val="24"/>
          <w:szCs w:val="24"/>
        </w:rPr>
        <w:t xml:space="preserve"> </w:t>
      </w:r>
      <w:r w:rsidR="00D21E15" w:rsidRPr="00BD7DAB">
        <w:rPr>
          <w:rFonts w:ascii="Times New Roman" w:hAnsi="Times New Roman" w:cs="Times New Roman"/>
          <w:sz w:val="24"/>
          <w:szCs w:val="24"/>
        </w:rPr>
        <w:t>(Watts, 2018</w:t>
      </w:r>
      <w:r w:rsidR="00D21E15">
        <w:rPr>
          <w:rFonts w:ascii="Times New Roman" w:hAnsi="Times New Roman" w:cs="Times New Roman"/>
          <w:sz w:val="24"/>
          <w:szCs w:val="24"/>
        </w:rPr>
        <w:t>)</w:t>
      </w:r>
      <w:r w:rsidR="006C27A2">
        <w:rPr>
          <w:rFonts w:ascii="Times New Roman" w:hAnsi="Times New Roman" w:cs="Times New Roman"/>
          <w:sz w:val="24"/>
          <w:szCs w:val="24"/>
        </w:rPr>
        <w:t xml:space="preserve">. </w:t>
      </w:r>
      <w:r w:rsidR="00481CC5">
        <w:rPr>
          <w:rFonts w:ascii="Times New Roman" w:hAnsi="Times New Roman" w:cs="Times New Roman"/>
          <w:sz w:val="24"/>
          <w:szCs w:val="24"/>
        </w:rPr>
        <w:t xml:space="preserve">Bone </w:t>
      </w:r>
      <w:r w:rsidR="006C27A2">
        <w:rPr>
          <w:rFonts w:ascii="Times New Roman" w:hAnsi="Times New Roman" w:cs="Times New Roman"/>
          <w:sz w:val="24"/>
          <w:szCs w:val="24"/>
        </w:rPr>
        <w:t xml:space="preserve">tissues </w:t>
      </w:r>
      <w:r w:rsidR="00437A13">
        <w:rPr>
          <w:rFonts w:ascii="Times New Roman" w:hAnsi="Times New Roman" w:cs="Times New Roman"/>
          <w:sz w:val="24"/>
          <w:szCs w:val="24"/>
        </w:rPr>
        <w:t>are broken down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437A13">
        <w:rPr>
          <w:rFonts w:ascii="Times New Roman" w:hAnsi="Times New Roman" w:cs="Times New Roman"/>
          <w:sz w:val="24"/>
          <w:szCs w:val="24"/>
        </w:rPr>
        <w:t xml:space="preserve"> but they get replaced constantly. If the replacement does not take place and the old bones are not replaced. Some of the risk factors that can result </w:t>
      </w:r>
      <w:r w:rsidR="00481CC5">
        <w:rPr>
          <w:rFonts w:ascii="Times New Roman" w:hAnsi="Times New Roman" w:cs="Times New Roman"/>
          <w:sz w:val="24"/>
          <w:szCs w:val="24"/>
        </w:rPr>
        <w:t>in Osteoporosis are: if a family has a history of Osteoporosis may increase the chances of an individual suffering</w:t>
      </w:r>
      <w:r w:rsidR="00437A13">
        <w:rPr>
          <w:rFonts w:ascii="Times New Roman" w:hAnsi="Times New Roman" w:cs="Times New Roman"/>
          <w:sz w:val="24"/>
          <w:szCs w:val="24"/>
        </w:rPr>
        <w:t xml:space="preserve"> from the disease. </w:t>
      </w:r>
      <w:r w:rsidR="00481CC5">
        <w:rPr>
          <w:rFonts w:ascii="Times New Roman" w:hAnsi="Times New Roman" w:cs="Times New Roman"/>
          <w:sz w:val="24"/>
          <w:szCs w:val="24"/>
        </w:rPr>
        <w:t>In addition, n</w:t>
      </w:r>
      <w:r w:rsidR="00437A13">
        <w:rPr>
          <w:rFonts w:ascii="Times New Roman" w:hAnsi="Times New Roman" w:cs="Times New Roman"/>
          <w:sz w:val="24"/>
          <w:szCs w:val="24"/>
        </w:rPr>
        <w:t xml:space="preserve">utrition </w:t>
      </w:r>
      <w:r w:rsidR="00481CC5">
        <w:rPr>
          <w:rFonts w:ascii="Times New Roman" w:hAnsi="Times New Roman" w:cs="Times New Roman"/>
          <w:sz w:val="24"/>
          <w:szCs w:val="24"/>
        </w:rPr>
        <w:t>factor</w:t>
      </w:r>
      <w:r w:rsidR="00437A13">
        <w:rPr>
          <w:rFonts w:ascii="Times New Roman" w:hAnsi="Times New Roman" w:cs="Times New Roman"/>
          <w:sz w:val="24"/>
          <w:szCs w:val="24"/>
        </w:rPr>
        <w:t xml:space="preserve"> increases </w:t>
      </w:r>
      <w:r w:rsidR="00481CC5">
        <w:rPr>
          <w:rFonts w:ascii="Times New Roman" w:hAnsi="Times New Roman" w:cs="Times New Roman"/>
          <w:sz w:val="24"/>
          <w:szCs w:val="24"/>
        </w:rPr>
        <w:t>Osteoporosis risk,</w:t>
      </w:r>
      <w:r w:rsidR="00437A13">
        <w:rPr>
          <w:rFonts w:ascii="Times New Roman" w:hAnsi="Times New Roman" w:cs="Times New Roman"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sz w:val="24"/>
          <w:szCs w:val="24"/>
        </w:rPr>
        <w:t>due to</w:t>
      </w:r>
      <w:r w:rsidR="00437A13">
        <w:rPr>
          <w:rFonts w:ascii="Times New Roman" w:hAnsi="Times New Roman" w:cs="Times New Roman"/>
          <w:sz w:val="24"/>
          <w:szCs w:val="24"/>
        </w:rPr>
        <w:t xml:space="preserve"> lack of some minerals such as calcium and phosphorus in the diet. Other risk factors include eating disorders, petite body frame, female, aging, renal disease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437A13">
        <w:rPr>
          <w:rFonts w:ascii="Times New Roman" w:hAnsi="Times New Roman" w:cs="Times New Roman"/>
          <w:sz w:val="24"/>
          <w:szCs w:val="24"/>
        </w:rPr>
        <w:t xml:space="preserve"> and smoking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(Boros &amp; Freemont, 2017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 w:rsidR="00437A13">
        <w:rPr>
          <w:rFonts w:ascii="Times New Roman" w:hAnsi="Times New Roman" w:cs="Times New Roman"/>
          <w:sz w:val="24"/>
          <w:szCs w:val="24"/>
        </w:rPr>
        <w:t>.</w:t>
      </w:r>
    </w:p>
    <w:p w:rsidR="00924E74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Osteoporosis can be assessed through</w:t>
      </w:r>
      <w:r w:rsidR="007A765B">
        <w:rPr>
          <w:rFonts w:ascii="Times New Roman" w:hAnsi="Times New Roman" w:cs="Times New Roman"/>
          <w:sz w:val="24"/>
          <w:szCs w:val="24"/>
        </w:rPr>
        <w:t xml:space="preserve"> physical examination, laboratory tests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7A765B">
        <w:rPr>
          <w:rFonts w:ascii="Times New Roman" w:hAnsi="Times New Roman" w:cs="Times New Roman"/>
          <w:sz w:val="24"/>
          <w:szCs w:val="24"/>
        </w:rPr>
        <w:t xml:space="preserve"> and bone density tests</w:t>
      </w:r>
      <w:r w:rsidR="00D21E15">
        <w:rPr>
          <w:rFonts w:ascii="Times New Roman" w:hAnsi="Times New Roman" w:cs="Times New Roman"/>
          <w:sz w:val="24"/>
          <w:szCs w:val="24"/>
        </w:rPr>
        <w:t xml:space="preserve"> </w:t>
      </w:r>
      <w:r w:rsidR="00D21E15" w:rsidRPr="00BD7DAB">
        <w:rPr>
          <w:rFonts w:ascii="Times New Roman" w:hAnsi="Times New Roman" w:cs="Times New Roman"/>
          <w:sz w:val="24"/>
          <w:szCs w:val="24"/>
        </w:rPr>
        <w:t>(Kuo &amp; Chen, 2017</w:t>
      </w:r>
      <w:r w:rsidR="00D21E15">
        <w:rPr>
          <w:rFonts w:ascii="Times New Roman" w:hAnsi="Times New Roman" w:cs="Times New Roman"/>
          <w:sz w:val="24"/>
          <w:szCs w:val="24"/>
        </w:rPr>
        <w:t>)</w:t>
      </w:r>
      <w:r w:rsidR="007A765B">
        <w:rPr>
          <w:rFonts w:ascii="Times New Roman" w:hAnsi="Times New Roman" w:cs="Times New Roman"/>
          <w:sz w:val="24"/>
          <w:szCs w:val="24"/>
        </w:rPr>
        <w:t xml:space="preserve">. </w:t>
      </w:r>
      <w:r w:rsidR="0089100A">
        <w:rPr>
          <w:rFonts w:ascii="Times New Roman" w:hAnsi="Times New Roman" w:cs="Times New Roman"/>
          <w:sz w:val="24"/>
          <w:szCs w:val="24"/>
        </w:rPr>
        <w:t xml:space="preserve">Bones that are assessed are </w:t>
      </w:r>
      <w:r w:rsidR="00481CC5">
        <w:rPr>
          <w:rFonts w:ascii="Times New Roman" w:hAnsi="Times New Roman" w:cs="Times New Roman"/>
          <w:sz w:val="24"/>
          <w:szCs w:val="24"/>
        </w:rPr>
        <w:t xml:space="preserve">the </w:t>
      </w:r>
      <w:r w:rsidR="0089100A">
        <w:rPr>
          <w:rFonts w:ascii="Times New Roman" w:hAnsi="Times New Roman" w:cs="Times New Roman"/>
          <w:sz w:val="24"/>
          <w:szCs w:val="24"/>
        </w:rPr>
        <w:t>spine, wrists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89100A">
        <w:rPr>
          <w:rFonts w:ascii="Times New Roman" w:hAnsi="Times New Roman" w:cs="Times New Roman"/>
          <w:sz w:val="24"/>
          <w:szCs w:val="24"/>
        </w:rPr>
        <w:t xml:space="preserve"> and hip bones. </w:t>
      </w:r>
      <w:r w:rsidR="007A765B">
        <w:rPr>
          <w:rFonts w:ascii="Times New Roman" w:hAnsi="Times New Roman" w:cs="Times New Roman"/>
          <w:sz w:val="24"/>
          <w:szCs w:val="24"/>
        </w:rPr>
        <w:t xml:space="preserve">The physical examination may involve </w:t>
      </w:r>
      <w:r w:rsidR="00481CC5">
        <w:rPr>
          <w:rFonts w:ascii="Times New Roman" w:hAnsi="Times New Roman" w:cs="Times New Roman"/>
          <w:sz w:val="24"/>
          <w:szCs w:val="24"/>
        </w:rPr>
        <w:t xml:space="preserve">a </w:t>
      </w:r>
      <w:r w:rsidR="007A765B">
        <w:rPr>
          <w:rFonts w:ascii="Times New Roman" w:hAnsi="Times New Roman" w:cs="Times New Roman"/>
          <w:sz w:val="24"/>
          <w:szCs w:val="24"/>
        </w:rPr>
        <w:t>th</w:t>
      </w:r>
      <w:r w:rsidR="00481CC5">
        <w:rPr>
          <w:rFonts w:ascii="Times New Roman" w:hAnsi="Times New Roman" w:cs="Times New Roman"/>
          <w:sz w:val="24"/>
          <w:szCs w:val="24"/>
        </w:rPr>
        <w:t>o</w:t>
      </w:r>
      <w:r w:rsidR="007A765B">
        <w:rPr>
          <w:rFonts w:ascii="Times New Roman" w:hAnsi="Times New Roman" w:cs="Times New Roman"/>
          <w:sz w:val="24"/>
          <w:szCs w:val="24"/>
        </w:rPr>
        <w:t xml:space="preserve">rough assessment of </w:t>
      </w:r>
      <w:r w:rsidR="00481CC5">
        <w:rPr>
          <w:rFonts w:ascii="Times New Roman" w:hAnsi="Times New Roman" w:cs="Times New Roman"/>
          <w:sz w:val="24"/>
          <w:szCs w:val="24"/>
        </w:rPr>
        <w:t xml:space="preserve">the </w:t>
      </w:r>
      <w:r w:rsidR="007A765B">
        <w:rPr>
          <w:rFonts w:ascii="Times New Roman" w:hAnsi="Times New Roman" w:cs="Times New Roman"/>
          <w:sz w:val="24"/>
          <w:szCs w:val="24"/>
        </w:rPr>
        <w:t xml:space="preserve">pelvic among women and </w:t>
      </w:r>
      <w:r w:rsidR="00481CC5">
        <w:rPr>
          <w:rFonts w:ascii="Times New Roman" w:hAnsi="Times New Roman" w:cs="Times New Roman"/>
          <w:sz w:val="24"/>
          <w:szCs w:val="24"/>
        </w:rPr>
        <w:t>check</w:t>
      </w:r>
      <w:r w:rsidR="007A765B">
        <w:rPr>
          <w:rFonts w:ascii="Times New Roman" w:hAnsi="Times New Roman" w:cs="Times New Roman"/>
          <w:sz w:val="24"/>
          <w:szCs w:val="24"/>
        </w:rPr>
        <w:t xml:space="preserve"> for bone fractures. Laboratory tests in</w:t>
      </w:r>
      <w:r w:rsidR="00481CC5">
        <w:rPr>
          <w:rFonts w:ascii="Times New Roman" w:hAnsi="Times New Roman" w:cs="Times New Roman"/>
          <w:sz w:val="24"/>
          <w:szCs w:val="24"/>
        </w:rPr>
        <w:t>clud</w:t>
      </w:r>
      <w:r w:rsidR="007A765B">
        <w:rPr>
          <w:rFonts w:ascii="Times New Roman" w:hAnsi="Times New Roman" w:cs="Times New Roman"/>
          <w:sz w:val="24"/>
          <w:szCs w:val="24"/>
        </w:rPr>
        <w:t>e conducting chemical analysis</w:t>
      </w:r>
      <w:r w:rsidR="00481CC5">
        <w:rPr>
          <w:rFonts w:ascii="Times New Roman" w:hAnsi="Times New Roman" w:cs="Times New Roman"/>
          <w:sz w:val="24"/>
          <w:szCs w:val="24"/>
        </w:rPr>
        <w:t xml:space="preserve"> </w:t>
      </w:r>
      <w:r w:rsidR="007A765B">
        <w:rPr>
          <w:rFonts w:ascii="Times New Roman" w:hAnsi="Times New Roman" w:cs="Times New Roman"/>
          <w:sz w:val="24"/>
          <w:szCs w:val="24"/>
        </w:rPr>
        <w:t>of serum when the history predicts conditions affecting bone density</w:t>
      </w:r>
      <w:r w:rsidR="00D21E15" w:rsidRPr="00BD7DAB">
        <w:rPr>
          <w:rFonts w:ascii="Times New Roman" w:hAnsi="Times New Roman" w:cs="Times New Roman"/>
          <w:sz w:val="24"/>
          <w:szCs w:val="24"/>
        </w:rPr>
        <w:t xml:space="preserve"> (Kuo &amp; Chen, 2017</w:t>
      </w:r>
      <w:r w:rsidR="00D21E15">
        <w:rPr>
          <w:rFonts w:ascii="Times New Roman" w:hAnsi="Times New Roman" w:cs="Times New Roman"/>
          <w:sz w:val="24"/>
          <w:szCs w:val="24"/>
        </w:rPr>
        <w:t>)</w:t>
      </w:r>
      <w:r w:rsidR="007A765B">
        <w:rPr>
          <w:rFonts w:ascii="Times New Roman" w:hAnsi="Times New Roman" w:cs="Times New Roman"/>
          <w:sz w:val="24"/>
          <w:szCs w:val="24"/>
        </w:rPr>
        <w:t xml:space="preserve">. </w:t>
      </w:r>
      <w:r w:rsidR="00481CC5">
        <w:rPr>
          <w:rFonts w:ascii="Times New Roman" w:hAnsi="Times New Roman" w:cs="Times New Roman"/>
          <w:sz w:val="24"/>
          <w:szCs w:val="24"/>
        </w:rPr>
        <w:t>For example, a</w:t>
      </w:r>
      <w:r w:rsidR="00681CFF">
        <w:rPr>
          <w:rFonts w:ascii="Times New Roman" w:hAnsi="Times New Roman" w:cs="Times New Roman"/>
          <w:sz w:val="24"/>
          <w:szCs w:val="24"/>
        </w:rPr>
        <w:t xml:space="preserve"> </w:t>
      </w:r>
      <w:r w:rsidR="00681CFF">
        <w:rPr>
          <w:rFonts w:ascii="Times New Roman" w:hAnsi="Times New Roman" w:cs="Times New Roman"/>
          <w:sz w:val="24"/>
          <w:szCs w:val="24"/>
        </w:rPr>
        <w:lastRenderedPageBreak/>
        <w:t xml:space="preserve">doctor may recommend </w:t>
      </w:r>
      <w:r w:rsidR="00481CC5">
        <w:rPr>
          <w:rFonts w:ascii="Times New Roman" w:hAnsi="Times New Roman" w:cs="Times New Roman"/>
          <w:sz w:val="24"/>
          <w:szCs w:val="24"/>
        </w:rPr>
        <w:t xml:space="preserve">a </w:t>
      </w:r>
      <w:r w:rsidR="00681CFF">
        <w:rPr>
          <w:rFonts w:ascii="Times New Roman" w:hAnsi="Times New Roman" w:cs="Times New Roman"/>
          <w:sz w:val="24"/>
          <w:szCs w:val="24"/>
        </w:rPr>
        <w:t>bone density test when the patient loses height, ha</w:t>
      </w:r>
      <w:r w:rsidR="00481CC5">
        <w:rPr>
          <w:rFonts w:ascii="Times New Roman" w:hAnsi="Times New Roman" w:cs="Times New Roman"/>
          <w:sz w:val="24"/>
          <w:szCs w:val="24"/>
        </w:rPr>
        <w:t>s</w:t>
      </w:r>
      <w:r w:rsidR="00681CFF">
        <w:rPr>
          <w:rFonts w:ascii="Times New Roman" w:hAnsi="Times New Roman" w:cs="Times New Roman"/>
          <w:sz w:val="24"/>
          <w:szCs w:val="24"/>
        </w:rPr>
        <w:t xml:space="preserve"> fractured bone, </w:t>
      </w:r>
      <w:r w:rsidR="00481CC5">
        <w:rPr>
          <w:rFonts w:ascii="Times New Roman" w:hAnsi="Times New Roman" w:cs="Times New Roman"/>
          <w:sz w:val="24"/>
          <w:szCs w:val="24"/>
        </w:rPr>
        <w:t xml:space="preserve">has </w:t>
      </w:r>
      <w:r w:rsidR="00681CFF">
        <w:rPr>
          <w:rFonts w:ascii="Times New Roman" w:hAnsi="Times New Roman" w:cs="Times New Roman"/>
          <w:sz w:val="24"/>
          <w:szCs w:val="24"/>
        </w:rPr>
        <w:t>taken certain drugs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681CFF">
        <w:rPr>
          <w:rFonts w:ascii="Times New Roman" w:hAnsi="Times New Roman" w:cs="Times New Roman"/>
          <w:sz w:val="24"/>
          <w:szCs w:val="24"/>
        </w:rPr>
        <w:t xml:space="preserve"> or in</w:t>
      </w:r>
      <w:r w:rsidR="00481CC5">
        <w:rPr>
          <w:rFonts w:ascii="Times New Roman" w:hAnsi="Times New Roman" w:cs="Times New Roman"/>
          <w:sz w:val="24"/>
          <w:szCs w:val="24"/>
        </w:rPr>
        <w:t xml:space="preserve"> </w:t>
      </w:r>
      <w:r w:rsidR="00681CFF">
        <w:rPr>
          <w:rFonts w:ascii="Times New Roman" w:hAnsi="Times New Roman" w:cs="Times New Roman"/>
          <w:sz w:val="24"/>
          <w:szCs w:val="24"/>
        </w:rPr>
        <w:t xml:space="preserve">case the hormonal levels are low. </w:t>
      </w:r>
    </w:p>
    <w:p w:rsidR="00A32AE7" w:rsidRPr="00E2358B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2358B">
        <w:rPr>
          <w:rFonts w:ascii="Times New Roman" w:hAnsi="Times New Roman" w:cs="Times New Roman"/>
          <w:i/>
          <w:sz w:val="24"/>
          <w:szCs w:val="24"/>
        </w:rPr>
        <w:t xml:space="preserve">An image showing an </w:t>
      </w:r>
      <w:r w:rsidR="00BD7DAB">
        <w:rPr>
          <w:rFonts w:ascii="Times New Roman" w:hAnsi="Times New Roman" w:cs="Times New Roman"/>
          <w:i/>
          <w:sz w:val="24"/>
          <w:szCs w:val="24"/>
        </w:rPr>
        <w:t>X</w:t>
      </w:r>
      <w:r w:rsidRPr="00E2358B">
        <w:rPr>
          <w:rFonts w:ascii="Times New Roman" w:hAnsi="Times New Roman" w:cs="Times New Roman"/>
          <w:i/>
          <w:sz w:val="24"/>
          <w:szCs w:val="24"/>
        </w:rPr>
        <w:t xml:space="preserve">-ray </w:t>
      </w:r>
      <w:r w:rsidR="00BD7DAB">
        <w:rPr>
          <w:rFonts w:ascii="Times New Roman" w:hAnsi="Times New Roman" w:cs="Times New Roman"/>
          <w:i/>
          <w:sz w:val="24"/>
          <w:szCs w:val="24"/>
        </w:rPr>
        <w:t>of</w:t>
      </w:r>
      <w:r w:rsidRPr="00E2358B">
        <w:rPr>
          <w:rFonts w:ascii="Times New Roman" w:hAnsi="Times New Roman" w:cs="Times New Roman"/>
          <w:i/>
          <w:sz w:val="24"/>
          <w:szCs w:val="24"/>
        </w:rPr>
        <w:t xml:space="preserve"> Osteoporosis</w:t>
      </w:r>
    </w:p>
    <w:p w:rsidR="00A32AE7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964335"/>
            <wp:effectExtent l="0" t="0" r="0" b="0"/>
            <wp:docPr id="3" name="Picture 3" descr="Osteoporosis, X-Ray, Diminishing Bone Density In The Knee, Sagittal... News  Photo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Osteoporosis, X-Ray, Diminishing Bone Density In The Knee, Sagittal... News  Photo - Getty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66" w:rsidRDefault="00596366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21E15" w:rsidRDefault="00D21E15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350C15" w:rsidRPr="00E07A65" w:rsidRDefault="009E0BAA" w:rsidP="00B8372B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Signs and </w:t>
      </w:r>
      <w:r w:rsidR="00006AE6" w:rsidRPr="00E07A65">
        <w:rPr>
          <w:rFonts w:ascii="Times New Roman" w:hAnsi="Times New Roman" w:cs="Times New Roman"/>
          <w:b/>
          <w:sz w:val="24"/>
          <w:szCs w:val="24"/>
        </w:rPr>
        <w:t xml:space="preserve">symptoms, </w:t>
      </w:r>
      <w:r w:rsidR="00481CC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06AE6" w:rsidRPr="00E07A65">
        <w:rPr>
          <w:rFonts w:ascii="Times New Roman" w:hAnsi="Times New Roman" w:cs="Times New Roman"/>
          <w:b/>
          <w:sz w:val="24"/>
          <w:szCs w:val="24"/>
        </w:rPr>
        <w:t>diagnostic</w:t>
      </w:r>
      <w:r w:rsidRPr="00E07A65">
        <w:rPr>
          <w:rFonts w:ascii="Times New Roman" w:hAnsi="Times New Roman" w:cs="Times New Roman"/>
          <w:b/>
          <w:sz w:val="24"/>
          <w:szCs w:val="24"/>
        </w:rPr>
        <w:t xml:space="preserve"> test</w:t>
      </w:r>
      <w:r w:rsidR="00006AE6" w:rsidRPr="00E07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A65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481CC5">
        <w:rPr>
          <w:rFonts w:ascii="Times New Roman" w:hAnsi="Times New Roman" w:cs="Times New Roman"/>
          <w:b/>
          <w:sz w:val="24"/>
          <w:szCs w:val="24"/>
        </w:rPr>
        <w:t>O</w:t>
      </w:r>
      <w:r w:rsidRPr="00E07A65">
        <w:rPr>
          <w:rFonts w:ascii="Times New Roman" w:hAnsi="Times New Roman" w:cs="Times New Roman"/>
          <w:b/>
          <w:sz w:val="24"/>
          <w:szCs w:val="24"/>
        </w:rPr>
        <w:t>steoporosis</w:t>
      </w:r>
    </w:p>
    <w:p w:rsidR="005D756A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early stages of </w:t>
      </w:r>
      <w:r w:rsidR="00481C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steoporosis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are no signs and symptoms. However, once the bones get weak by the disorder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individual may experience the following signs and symptoms: loss of height over time, bones break </w:t>
      </w:r>
      <w:r w:rsidR="00481CC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han expected, back pain that is caused by fracture or collapsed vertebra, shortness of breath that results, and </w:t>
      </w:r>
      <w:r w:rsidR="00E07A65">
        <w:rPr>
          <w:rFonts w:ascii="Times New Roman" w:hAnsi="Times New Roman" w:cs="Times New Roman"/>
          <w:sz w:val="24"/>
          <w:szCs w:val="24"/>
        </w:rPr>
        <w:t>change in</w:t>
      </w:r>
      <w:r>
        <w:rPr>
          <w:rFonts w:ascii="Times New Roman" w:hAnsi="Times New Roman" w:cs="Times New Roman"/>
          <w:sz w:val="24"/>
          <w:szCs w:val="24"/>
        </w:rPr>
        <w:t xml:space="preserve"> posture</w:t>
      </w:r>
      <w:r w:rsidR="00D21E15">
        <w:rPr>
          <w:rFonts w:ascii="Times New Roman" w:hAnsi="Times New Roman" w:cs="Times New Roman"/>
          <w:sz w:val="24"/>
          <w:szCs w:val="24"/>
        </w:rPr>
        <w:t xml:space="preserve"> </w:t>
      </w:r>
      <w:r w:rsidR="00D21E15" w:rsidRPr="00BD7DAB">
        <w:rPr>
          <w:rFonts w:ascii="Times New Roman" w:hAnsi="Times New Roman" w:cs="Times New Roman"/>
          <w:sz w:val="24"/>
          <w:szCs w:val="24"/>
        </w:rPr>
        <w:t>(Watts, 2018</w:t>
      </w:r>
      <w:r w:rsidR="00D21E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7A65">
        <w:rPr>
          <w:rFonts w:ascii="Times New Roman" w:hAnsi="Times New Roman" w:cs="Times New Roman"/>
          <w:sz w:val="24"/>
          <w:szCs w:val="24"/>
        </w:rPr>
        <w:t xml:space="preserve"> Getting shorter with one inch or more may indicate </w:t>
      </w:r>
      <w:r w:rsidR="00481CC5">
        <w:rPr>
          <w:rFonts w:ascii="Times New Roman" w:hAnsi="Times New Roman" w:cs="Times New Roman"/>
          <w:sz w:val="24"/>
          <w:szCs w:val="24"/>
        </w:rPr>
        <w:t xml:space="preserve">the </w:t>
      </w:r>
      <w:r w:rsidR="00E07A65">
        <w:rPr>
          <w:rFonts w:ascii="Times New Roman" w:hAnsi="Times New Roman" w:cs="Times New Roman"/>
          <w:sz w:val="24"/>
          <w:szCs w:val="24"/>
        </w:rPr>
        <w:t xml:space="preserve">presence of this disorder. An individual </w:t>
      </w:r>
      <w:r w:rsidR="00481CC5">
        <w:rPr>
          <w:rFonts w:ascii="Times New Roman" w:hAnsi="Times New Roman" w:cs="Times New Roman"/>
          <w:sz w:val="24"/>
          <w:szCs w:val="24"/>
        </w:rPr>
        <w:t>stanc</w:t>
      </w:r>
      <w:r w:rsidR="00E07A65">
        <w:rPr>
          <w:rFonts w:ascii="Times New Roman" w:hAnsi="Times New Roman" w:cs="Times New Roman"/>
          <w:sz w:val="24"/>
          <w:szCs w:val="24"/>
        </w:rPr>
        <w:t>e might change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E07A65">
        <w:rPr>
          <w:rFonts w:ascii="Times New Roman" w:hAnsi="Times New Roman" w:cs="Times New Roman"/>
          <w:sz w:val="24"/>
          <w:szCs w:val="24"/>
        </w:rPr>
        <w:t xml:space="preserve"> and the </w:t>
      </w:r>
      <w:r w:rsidR="00481CC5">
        <w:rPr>
          <w:rFonts w:ascii="Times New Roman" w:hAnsi="Times New Roman" w:cs="Times New Roman"/>
          <w:sz w:val="24"/>
          <w:szCs w:val="24"/>
        </w:rPr>
        <w:t>stanc</w:t>
      </w:r>
      <w:r w:rsidR="00E07A65">
        <w:rPr>
          <w:rFonts w:ascii="Times New Roman" w:hAnsi="Times New Roman" w:cs="Times New Roman"/>
          <w:sz w:val="24"/>
          <w:szCs w:val="24"/>
        </w:rPr>
        <w:t xml:space="preserve">e is stooped or appears to bend forward. Shortness of breath may be caused by the reduction of lung capacity due to compression of disks. </w:t>
      </w:r>
      <w:r w:rsidR="00481CC5">
        <w:rPr>
          <w:rFonts w:ascii="Times New Roman" w:hAnsi="Times New Roman" w:cs="Times New Roman"/>
          <w:sz w:val="24"/>
          <w:szCs w:val="24"/>
        </w:rPr>
        <w:t>The weakness of the bones causes a bone fracture,</w:t>
      </w:r>
      <w:r w:rsidR="00E07A65">
        <w:rPr>
          <w:rFonts w:ascii="Times New Roman" w:hAnsi="Times New Roman" w:cs="Times New Roman"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sz w:val="24"/>
          <w:szCs w:val="24"/>
        </w:rPr>
        <w:t>which</w:t>
      </w:r>
      <w:r w:rsidR="00E07A65">
        <w:rPr>
          <w:rFonts w:ascii="Times New Roman" w:hAnsi="Times New Roman" w:cs="Times New Roman"/>
          <w:sz w:val="24"/>
          <w:szCs w:val="24"/>
        </w:rPr>
        <w:t xml:space="preserve"> may cause pain </w:t>
      </w:r>
      <w:r w:rsidR="00481CC5">
        <w:rPr>
          <w:rFonts w:ascii="Times New Roman" w:hAnsi="Times New Roman" w:cs="Times New Roman"/>
          <w:sz w:val="24"/>
          <w:szCs w:val="24"/>
        </w:rPr>
        <w:t>in</w:t>
      </w:r>
      <w:r w:rsidR="00E07A65">
        <w:rPr>
          <w:rFonts w:ascii="Times New Roman" w:hAnsi="Times New Roman" w:cs="Times New Roman"/>
          <w:sz w:val="24"/>
          <w:szCs w:val="24"/>
        </w:rPr>
        <w:t xml:space="preserve"> the lower back.</w:t>
      </w:r>
    </w:p>
    <w:p w:rsidR="002A5198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81CC5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 xml:space="preserve"> diagnostic test for </w:t>
      </w:r>
      <w:r w:rsidR="00481C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steoporosis is bone density </w:t>
      </w:r>
      <w:r w:rsidR="0089100A">
        <w:rPr>
          <w:rFonts w:ascii="Times New Roman" w:hAnsi="Times New Roman" w:cs="Times New Roman"/>
          <w:sz w:val="24"/>
          <w:szCs w:val="24"/>
        </w:rPr>
        <w:t xml:space="preserve">tests. The tests </w:t>
      </w:r>
      <w:r w:rsidR="00196980">
        <w:rPr>
          <w:rFonts w:ascii="Times New Roman" w:hAnsi="Times New Roman" w:cs="Times New Roman"/>
          <w:sz w:val="24"/>
          <w:szCs w:val="24"/>
        </w:rPr>
        <w:t>are</w:t>
      </w:r>
      <w:r w:rsidR="0089100A">
        <w:rPr>
          <w:rFonts w:ascii="Times New Roman" w:hAnsi="Times New Roman" w:cs="Times New Roman"/>
          <w:sz w:val="24"/>
          <w:szCs w:val="24"/>
        </w:rPr>
        <w:t xml:space="preserve"> commonly known as dual</w:t>
      </w:r>
      <w:r w:rsidR="00481CC5">
        <w:rPr>
          <w:rFonts w:ascii="Times New Roman" w:hAnsi="Times New Roman" w:cs="Times New Roman"/>
          <w:sz w:val="24"/>
          <w:szCs w:val="24"/>
        </w:rPr>
        <w:t>-</w:t>
      </w:r>
      <w:r w:rsidR="0089100A">
        <w:rPr>
          <w:rFonts w:ascii="Times New Roman" w:hAnsi="Times New Roman" w:cs="Times New Roman"/>
          <w:sz w:val="24"/>
          <w:szCs w:val="24"/>
        </w:rPr>
        <w:t>energy X-ray absorptiometry</w:t>
      </w:r>
      <w:r w:rsidR="00196980">
        <w:rPr>
          <w:rFonts w:ascii="Times New Roman" w:hAnsi="Times New Roman" w:cs="Times New Roman"/>
          <w:sz w:val="24"/>
          <w:szCs w:val="24"/>
        </w:rPr>
        <w:t xml:space="preserve"> scans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(Kuo &amp; Chen, 2017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6980">
        <w:rPr>
          <w:rFonts w:ascii="Times New Roman" w:hAnsi="Times New Roman" w:cs="Times New Roman"/>
          <w:sz w:val="24"/>
          <w:szCs w:val="24"/>
        </w:rPr>
        <w:t xml:space="preserve">These tests only use </w:t>
      </w:r>
      <w:r w:rsidR="00481CC5">
        <w:rPr>
          <w:rFonts w:ascii="Times New Roman" w:hAnsi="Times New Roman" w:cs="Times New Roman"/>
          <w:sz w:val="24"/>
          <w:szCs w:val="24"/>
        </w:rPr>
        <w:t xml:space="preserve">a </w:t>
      </w:r>
      <w:r w:rsidR="00196980">
        <w:rPr>
          <w:rFonts w:ascii="Times New Roman" w:hAnsi="Times New Roman" w:cs="Times New Roman"/>
          <w:sz w:val="24"/>
          <w:szCs w:val="24"/>
        </w:rPr>
        <w:t xml:space="preserve">limited amount of radiation to </w:t>
      </w:r>
      <w:r>
        <w:rPr>
          <w:rFonts w:ascii="Times New Roman" w:hAnsi="Times New Roman" w:cs="Times New Roman"/>
          <w:sz w:val="24"/>
          <w:szCs w:val="24"/>
        </w:rPr>
        <w:t xml:space="preserve">determine bone density, risk of fracture, confirm </w:t>
      </w:r>
      <w:r w:rsidR="00481CC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diagnosis of </w:t>
      </w:r>
      <w:r w:rsidR="00481C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steoporosis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monitor the impacts of the treatment. If the bones are denser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they are stronger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</w:t>
      </w:r>
      <w:r w:rsidR="00481CC5">
        <w:rPr>
          <w:rFonts w:ascii="Times New Roman" w:hAnsi="Times New Roman" w:cs="Times New Roman"/>
          <w:sz w:val="24"/>
          <w:szCs w:val="24"/>
        </w:rPr>
        <w:t xml:space="preserve">less dense bones </w:t>
      </w:r>
      <w:r>
        <w:rPr>
          <w:rFonts w:ascii="Times New Roman" w:hAnsi="Times New Roman" w:cs="Times New Roman"/>
          <w:sz w:val="24"/>
          <w:szCs w:val="24"/>
        </w:rPr>
        <w:t xml:space="preserve">show they </w:t>
      </w:r>
      <w:r>
        <w:rPr>
          <w:rFonts w:ascii="Times New Roman" w:hAnsi="Times New Roman" w:cs="Times New Roman"/>
          <w:sz w:val="24"/>
          <w:szCs w:val="24"/>
        </w:rPr>
        <w:t>are likely to fractur</w:t>
      </w:r>
      <w:r w:rsidR="00481C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Also, X-ray tests can be used to measure the grams of minerals that are stored in the bone. </w:t>
      </w:r>
    </w:p>
    <w:p w:rsidR="00350C15" w:rsidRPr="0089100A" w:rsidRDefault="009E0BAA" w:rsidP="00B8372B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00A">
        <w:rPr>
          <w:rFonts w:ascii="Times New Roman" w:hAnsi="Times New Roman" w:cs="Times New Roman"/>
          <w:b/>
          <w:sz w:val="24"/>
          <w:szCs w:val="24"/>
        </w:rPr>
        <w:t>N</w:t>
      </w:r>
      <w:r w:rsidR="006514EE" w:rsidRPr="0089100A">
        <w:rPr>
          <w:rFonts w:ascii="Times New Roman" w:hAnsi="Times New Roman" w:cs="Times New Roman"/>
          <w:b/>
          <w:sz w:val="24"/>
          <w:szCs w:val="24"/>
        </w:rPr>
        <w:t xml:space="preserve">ursing interventions management for </w:t>
      </w:r>
      <w:r w:rsidR="00481CC5">
        <w:rPr>
          <w:rFonts w:ascii="Times New Roman" w:hAnsi="Times New Roman" w:cs="Times New Roman"/>
          <w:b/>
          <w:sz w:val="24"/>
          <w:szCs w:val="24"/>
        </w:rPr>
        <w:t>O</w:t>
      </w:r>
      <w:r w:rsidRPr="0089100A">
        <w:rPr>
          <w:rFonts w:ascii="Times New Roman" w:hAnsi="Times New Roman" w:cs="Times New Roman"/>
          <w:b/>
          <w:sz w:val="24"/>
          <w:szCs w:val="24"/>
        </w:rPr>
        <w:t>steoporosis</w:t>
      </w:r>
    </w:p>
    <w:p w:rsidR="009E2B27" w:rsidRDefault="009E0BAA" w:rsidP="00D21E15">
      <w:pPr>
        <w:spacing w:before="24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appropriate nursing interventions for manag</w:t>
      </w:r>
      <w:r w:rsidR="00481CC5">
        <w:rPr>
          <w:rFonts w:ascii="Times New Roman" w:hAnsi="Times New Roman" w:cs="Times New Roman"/>
          <w:sz w:val="24"/>
          <w:szCs w:val="24"/>
        </w:rPr>
        <w:t>ing O</w:t>
      </w:r>
      <w:r>
        <w:rPr>
          <w:rFonts w:ascii="Times New Roman" w:hAnsi="Times New Roman" w:cs="Times New Roman"/>
          <w:sz w:val="24"/>
          <w:szCs w:val="24"/>
        </w:rPr>
        <w:t xml:space="preserve">steoporosis are relieving </w:t>
      </w:r>
      <w:r>
        <w:rPr>
          <w:rFonts w:ascii="Times New Roman" w:hAnsi="Times New Roman" w:cs="Times New Roman"/>
          <w:sz w:val="24"/>
          <w:szCs w:val="24"/>
        </w:rPr>
        <w:t>pain, promoting understanding of the disorder and treatment regimen, improving bowel actions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encouraging preventive measures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(Akkawi &amp; Zmerly, 2018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 w:rsidR="00E235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sz w:val="24"/>
          <w:szCs w:val="24"/>
        </w:rPr>
        <w:t>Nurses use different medications</w:t>
      </w:r>
      <w:r>
        <w:rPr>
          <w:rFonts w:ascii="Times New Roman" w:hAnsi="Times New Roman" w:cs="Times New Roman"/>
          <w:sz w:val="24"/>
          <w:szCs w:val="24"/>
        </w:rPr>
        <w:t xml:space="preserve"> to manage </w:t>
      </w:r>
      <w:r w:rsidR="00481C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steoporosis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hormone</w:t>
      </w:r>
      <w:r w:rsidR="00481C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related therapy, bisphosphon</w:t>
      </w:r>
      <w:r>
        <w:rPr>
          <w:rFonts w:ascii="Times New Roman" w:hAnsi="Times New Roman" w:cs="Times New Roman"/>
          <w:sz w:val="24"/>
          <w:szCs w:val="24"/>
        </w:rPr>
        <w:t>ates, biologics, anabolic agents, and dietary supplements</w:t>
      </w:r>
      <w:r w:rsidR="00BD7DAB">
        <w:rPr>
          <w:rFonts w:ascii="Times New Roman" w:hAnsi="Times New Roman" w:cs="Times New Roman"/>
          <w:sz w:val="24"/>
          <w:szCs w:val="24"/>
        </w:rPr>
        <w:t xml:space="preserve"> </w:t>
      </w:r>
      <w:r w:rsidR="00BD7DAB" w:rsidRPr="00BD7DAB">
        <w:rPr>
          <w:rFonts w:ascii="Times New Roman" w:hAnsi="Times New Roman" w:cs="Times New Roman"/>
          <w:sz w:val="24"/>
          <w:szCs w:val="24"/>
        </w:rPr>
        <w:t>(Criseno, 2019</w:t>
      </w:r>
      <w:r w:rsidR="00BD7D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1E15">
        <w:rPr>
          <w:rFonts w:ascii="Times New Roman" w:hAnsi="Times New Roman" w:cs="Times New Roman"/>
          <w:sz w:val="24"/>
          <w:szCs w:val="24"/>
        </w:rPr>
        <w:t>In addition, a</w:t>
      </w:r>
      <w:r>
        <w:rPr>
          <w:rFonts w:ascii="Times New Roman" w:hAnsi="Times New Roman" w:cs="Times New Roman"/>
          <w:sz w:val="24"/>
          <w:szCs w:val="24"/>
        </w:rPr>
        <w:t xml:space="preserve"> nurse professional helps to determine the best </w:t>
      </w:r>
      <w:r w:rsidR="00481CC5">
        <w:rPr>
          <w:rFonts w:ascii="Times New Roman" w:hAnsi="Times New Roman" w:cs="Times New Roman"/>
          <w:sz w:val="24"/>
          <w:szCs w:val="24"/>
        </w:rPr>
        <w:t>remedy</w:t>
      </w:r>
      <w:r>
        <w:rPr>
          <w:rFonts w:ascii="Times New Roman" w:hAnsi="Times New Roman" w:cs="Times New Roman"/>
          <w:sz w:val="24"/>
          <w:szCs w:val="24"/>
        </w:rPr>
        <w:t xml:space="preserve"> to manage the disorder together with the patient.</w:t>
      </w:r>
    </w:p>
    <w:p w:rsidR="00957B96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D7DA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D7DAB" w:rsidRPr="00BD7DAB">
        <w:rPr>
          <w:rFonts w:ascii="Times New Roman" w:hAnsi="Times New Roman" w:cs="Times New Roman"/>
          <w:sz w:val="24"/>
          <w:szCs w:val="24"/>
        </w:rPr>
        <w:t xml:space="preserve">Criseno </w:t>
      </w:r>
      <w:r w:rsidR="00BD7DAB">
        <w:rPr>
          <w:rFonts w:ascii="Times New Roman" w:hAnsi="Times New Roman" w:cs="Times New Roman"/>
          <w:sz w:val="24"/>
          <w:szCs w:val="24"/>
        </w:rPr>
        <w:t>(</w:t>
      </w:r>
      <w:r w:rsidR="00BD7DAB" w:rsidRPr="00BD7DAB">
        <w:rPr>
          <w:rFonts w:ascii="Times New Roman" w:hAnsi="Times New Roman" w:cs="Times New Roman"/>
          <w:sz w:val="24"/>
          <w:szCs w:val="24"/>
        </w:rPr>
        <w:t>2019</w:t>
      </w:r>
      <w:r w:rsidR="00BD7DAB">
        <w:rPr>
          <w:rFonts w:ascii="Times New Roman" w:hAnsi="Times New Roman" w:cs="Times New Roman"/>
          <w:sz w:val="24"/>
          <w:szCs w:val="24"/>
        </w:rPr>
        <w:t>), n</w:t>
      </w:r>
      <w:r w:rsidR="00481CC5">
        <w:rPr>
          <w:rFonts w:ascii="Times New Roman" w:hAnsi="Times New Roman" w:cs="Times New Roman"/>
          <w:sz w:val="24"/>
          <w:szCs w:val="24"/>
        </w:rPr>
        <w:t>urses adopt two main ways</w:t>
      </w:r>
      <w:r>
        <w:rPr>
          <w:rFonts w:ascii="Times New Roman" w:hAnsi="Times New Roman" w:cs="Times New Roman"/>
          <w:sz w:val="24"/>
          <w:szCs w:val="24"/>
        </w:rPr>
        <w:t xml:space="preserve"> to pr</w:t>
      </w:r>
      <w:r>
        <w:rPr>
          <w:rFonts w:ascii="Times New Roman" w:hAnsi="Times New Roman" w:cs="Times New Roman"/>
          <w:sz w:val="24"/>
          <w:szCs w:val="24"/>
        </w:rPr>
        <w:t>event the disorder</w:t>
      </w:r>
      <w:r w:rsidR="00D21E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diet and lifestyle. Diet play</w:t>
      </w:r>
      <w:r w:rsidR="00481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 essential role in </w:t>
      </w:r>
      <w:r w:rsidR="003F1EF2">
        <w:rPr>
          <w:rFonts w:ascii="Times New Roman" w:hAnsi="Times New Roman" w:cs="Times New Roman"/>
          <w:sz w:val="24"/>
          <w:szCs w:val="24"/>
        </w:rPr>
        <w:t>maintaining strong and healthy bones. Every individual require</w:t>
      </w:r>
      <w:r w:rsidR="00BD7DAB">
        <w:rPr>
          <w:rFonts w:ascii="Times New Roman" w:hAnsi="Times New Roman" w:cs="Times New Roman"/>
          <w:sz w:val="24"/>
          <w:szCs w:val="24"/>
        </w:rPr>
        <w:t>s</w:t>
      </w:r>
      <w:r w:rsidR="003F1EF2">
        <w:rPr>
          <w:rFonts w:ascii="Times New Roman" w:hAnsi="Times New Roman" w:cs="Times New Roman"/>
          <w:sz w:val="24"/>
          <w:szCs w:val="24"/>
        </w:rPr>
        <w:t xml:space="preserve"> a diet rich in calcium and phosphorus.</w:t>
      </w:r>
      <w:r w:rsidR="00DB2A97">
        <w:rPr>
          <w:rFonts w:ascii="Times New Roman" w:hAnsi="Times New Roman" w:cs="Times New Roman"/>
          <w:sz w:val="24"/>
          <w:szCs w:val="24"/>
        </w:rPr>
        <w:t xml:space="preserve"> Some dietary sources of calcium are dairy products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 w:rsidR="00DB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especially</w:t>
      </w:r>
      <w:r w:rsidR="00DB2A97">
        <w:rPr>
          <w:rFonts w:ascii="Times New Roman" w:hAnsi="Times New Roman" w:cs="Times New Roman"/>
          <w:sz w:val="24"/>
          <w:szCs w:val="24"/>
        </w:rPr>
        <w:t xml:space="preserve"> milk, salmon with bones, </w:t>
      </w:r>
      <w:r>
        <w:rPr>
          <w:rFonts w:ascii="Times New Roman" w:hAnsi="Times New Roman" w:cs="Times New Roman"/>
          <w:sz w:val="24"/>
          <w:szCs w:val="24"/>
        </w:rPr>
        <w:t>broccoli</w:t>
      </w:r>
      <w:r w:rsidR="00DB2A97">
        <w:rPr>
          <w:rFonts w:ascii="Times New Roman" w:hAnsi="Times New Roman" w:cs="Times New Roman"/>
          <w:sz w:val="24"/>
          <w:szCs w:val="24"/>
        </w:rPr>
        <w:t xml:space="preserve">, kale, </w:t>
      </w:r>
      <w:r>
        <w:rPr>
          <w:rFonts w:ascii="Times New Roman" w:hAnsi="Times New Roman" w:cs="Times New Roman"/>
          <w:sz w:val="24"/>
          <w:szCs w:val="24"/>
        </w:rPr>
        <w:t>dried figs, calcium supplement</w:t>
      </w:r>
      <w:r w:rsidR="00481CC5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and calcium</w:t>
      </w:r>
      <w:r w:rsidR="00481C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fortified products. </w:t>
      </w:r>
    </w:p>
    <w:p w:rsidR="00957B96" w:rsidRDefault="009E0BAA" w:rsidP="00D21E1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Vitamin D is </w:t>
      </w:r>
      <w:r w:rsidR="00481CC5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essential nutrient that the body utilizes to aid calcium absorption</w:t>
      </w:r>
      <w:r w:rsidR="00D21E15">
        <w:rPr>
          <w:rFonts w:ascii="Times New Roman" w:hAnsi="Times New Roman" w:cs="Times New Roman"/>
          <w:sz w:val="24"/>
          <w:szCs w:val="24"/>
        </w:rPr>
        <w:t xml:space="preserve"> </w:t>
      </w:r>
      <w:r w:rsidR="00D21E15" w:rsidRPr="00BD7DAB">
        <w:rPr>
          <w:rFonts w:ascii="Times New Roman" w:hAnsi="Times New Roman" w:cs="Times New Roman"/>
          <w:sz w:val="24"/>
          <w:szCs w:val="24"/>
        </w:rPr>
        <w:t>(Watts, 2018</w:t>
      </w:r>
      <w:r w:rsidR="00D21E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Exposure to sunlight is one of the </w:t>
      </w:r>
      <w:r w:rsidR="00481CC5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sources of vitamin D </w:t>
      </w:r>
      <w:r w:rsidR="00481CC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can be sourced from fortified food products. Living and maintaining a healthy lifestyle also prevents the disorder. </w:t>
      </w:r>
      <w:r w:rsidR="00481CC5">
        <w:rPr>
          <w:rFonts w:ascii="Times New Roman" w:hAnsi="Times New Roman" w:cs="Times New Roman"/>
          <w:sz w:val="24"/>
          <w:szCs w:val="24"/>
        </w:rPr>
        <w:t>For example, e</w:t>
      </w:r>
      <w:r>
        <w:rPr>
          <w:rFonts w:ascii="Times New Roman" w:hAnsi="Times New Roman" w:cs="Times New Roman"/>
          <w:sz w:val="24"/>
          <w:szCs w:val="24"/>
        </w:rPr>
        <w:t>ngaging in physical activities such as jogging, walking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weightlifting makes body muscles wor</w:t>
      </w:r>
      <w:r>
        <w:rPr>
          <w:rFonts w:ascii="Times New Roman" w:hAnsi="Times New Roman" w:cs="Times New Roman"/>
          <w:sz w:val="24"/>
          <w:szCs w:val="24"/>
        </w:rPr>
        <w:t>k against gravity</w:t>
      </w:r>
      <w:r w:rsidR="00481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thus strengthening the bones. </w:t>
      </w:r>
      <w:r w:rsidR="00481CC5">
        <w:rPr>
          <w:rFonts w:ascii="Times New Roman" w:hAnsi="Times New Roman" w:cs="Times New Roman"/>
          <w:sz w:val="24"/>
          <w:szCs w:val="24"/>
        </w:rPr>
        <w:t>In addition, p</w:t>
      </w:r>
      <w:r>
        <w:rPr>
          <w:rFonts w:ascii="Times New Roman" w:hAnsi="Times New Roman" w:cs="Times New Roman"/>
          <w:sz w:val="24"/>
          <w:szCs w:val="24"/>
        </w:rPr>
        <w:t xml:space="preserve">racticing health behaviors such as avoiding </w:t>
      </w:r>
      <w:r w:rsidR="00481CC5">
        <w:rPr>
          <w:rFonts w:ascii="Times New Roman" w:hAnsi="Times New Roman" w:cs="Times New Roman"/>
          <w:sz w:val="24"/>
          <w:szCs w:val="24"/>
        </w:rPr>
        <w:t>tobacco use and excessive caffeine help</w:t>
      </w:r>
      <w:r>
        <w:rPr>
          <w:rFonts w:ascii="Times New Roman" w:hAnsi="Times New Roman" w:cs="Times New Roman"/>
          <w:sz w:val="24"/>
          <w:szCs w:val="24"/>
        </w:rPr>
        <w:t xml:space="preserve"> manage the condition.</w:t>
      </w: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D21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1E15" w:rsidRDefault="00D21E15" w:rsidP="00D21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7DAB" w:rsidRPr="00A54065" w:rsidRDefault="009E0BAA" w:rsidP="00BD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0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</w:t>
      </w:r>
      <w:bookmarkStart w:id="0" w:name="_GoBack"/>
      <w:bookmarkEnd w:id="0"/>
      <w:r w:rsidRPr="00A54065">
        <w:rPr>
          <w:rFonts w:ascii="Times New Roman" w:eastAsia="Times New Roman" w:hAnsi="Times New Roman" w:cs="Times New Roman"/>
          <w:color w:val="000000"/>
          <w:sz w:val="24"/>
          <w:szCs w:val="24"/>
        </w:rPr>
        <w:t>eferences</w:t>
      </w:r>
      <w:r w:rsidR="001D1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Akkawi, I., &amp; Zmerly, H. (2018). Osteoporosis: 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Current concepts.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Joints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06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(02), 122-127. </w:t>
      </w:r>
      <w:hyperlink r:id="rId8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https://doi.org/10.1055/s-0038-1660790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Boros, K., &amp; Freemont, T. (2017). Physiology of aging of the musculoskeletal system.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Best Practice &amp; Research Clinical 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Rheumatology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31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(2), 203-217. </w:t>
      </w:r>
      <w:hyperlink r:id="rId9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https://doi.org/10.1016/j.berh.2017.09.003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Criseno, S. (2019). Osteoporosis.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Advanced Practice in Endocrinology Nursing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 1005-1035. </w:t>
      </w:r>
      <w:hyperlink r:id="rId10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https://doi.org/10.1007/978-3-319-99817-6_53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Hudson, L. C., &amp; Hamilto, W. P. (2017). Musculoskeletal system.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Atlas of Feline Anatomy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 23-78. </w:t>
      </w:r>
      <w:hyperlink r:id="rId11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https://doi.org/10.1201/978131513</w:t>
        </w:r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7865-3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Kuo, T., &amp; Chen, C. (2017). Bone biomarker for the clinical assessment of </w:t>
      </w:r>
      <w:r w:rsidR="00D21E1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steoporosis: Recent developments and future perspectives.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Biomarker Research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(1). </w:t>
      </w:r>
      <w:hyperlink r:id="rId12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https://doi.org/10.1186/s40364-0</w:t>
        </w:r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17-0097-4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Sozen, T., Ozisik, L., &amp; Calik Basaran, N. (2017). An overview and management of </w:t>
      </w:r>
      <w:r w:rsidR="00D21E1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steoporosis.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European Journal of Rheumatology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(1), 46-56. </w:t>
      </w:r>
      <w:hyperlink r:id="rId13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https://doi.org/10.5152/eurjrheum.2016.048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Watts, N. B. (2018). Postmenopausal </w:t>
      </w:r>
      <w:r w:rsidR="00D21E1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steoporosis: A clinical review.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Women's Health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(9), 1093-1096. </w:t>
      </w:r>
      <w:hyperlink r:id="rId14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https://doi.org/10.1089/jwh.2017.6706</w:t>
        </w:r>
      </w:hyperlink>
    </w:p>
    <w:p w:rsidR="00BD7DAB" w:rsidRPr="00BD7DAB" w:rsidRDefault="009E0BAA" w:rsidP="00BD7DAB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Yu, B., &amp; Wang, C. (2016). Osteoporosis: The resul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an </w:t>
      </w:r>
      <w:r w:rsidR="00D21E15"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Aged</w:t>
      </w:r>
      <w:r w:rsidR="00D21E15"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bone microenvironment.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Trends in Molecular Medicine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21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</w:t>
      </w:r>
      <w:r w:rsidRPr="00BD7DAB">
        <w:rPr>
          <w:rFonts w:ascii="Times New Roman" w:eastAsia="Times New Roman" w:hAnsi="Times New Roman" w:cs="Times New Roman"/>
          <w:color w:val="000000"/>
          <w:sz w:val="24"/>
          <w:szCs w:val="24"/>
        </w:rPr>
        <w:t>(8), 641-644. </w:t>
      </w:r>
      <w:hyperlink r:id="rId15" w:history="1">
        <w:r w:rsidRPr="00D21E1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https://doi.org/10.1016/j.molmed.2016.06.002</w:t>
        </w:r>
      </w:hyperlink>
    </w:p>
    <w:p w:rsidR="00BD7DAB" w:rsidRPr="00D21E15" w:rsidRDefault="009E0BAA" w:rsidP="00BD7DAB">
      <w:pPr>
        <w:rPr>
          <w:rFonts w:ascii="Times New Roman" w:hAnsi="Times New Roman" w:cs="Times New Roman"/>
          <w:sz w:val="24"/>
          <w:szCs w:val="24"/>
        </w:rPr>
      </w:pPr>
      <w:r w:rsidRPr="00D21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DAB" w:rsidRPr="00350C15" w:rsidRDefault="00BD7DAB" w:rsidP="00BD7D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7DAB" w:rsidRPr="00350C1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AA" w:rsidRDefault="009E0BAA">
      <w:pPr>
        <w:spacing w:after="0" w:line="240" w:lineRule="auto"/>
      </w:pPr>
      <w:r>
        <w:separator/>
      </w:r>
    </w:p>
  </w:endnote>
  <w:endnote w:type="continuationSeparator" w:id="0">
    <w:p w:rsidR="009E0BAA" w:rsidRDefault="009E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AA" w:rsidRDefault="009E0BAA">
      <w:pPr>
        <w:spacing w:after="0" w:line="240" w:lineRule="auto"/>
      </w:pPr>
      <w:r>
        <w:separator/>
      </w:r>
    </w:p>
  </w:footnote>
  <w:footnote w:type="continuationSeparator" w:id="0">
    <w:p w:rsidR="009E0BAA" w:rsidRDefault="009E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270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A399F" w:rsidRPr="000A399F" w:rsidRDefault="009E0BA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3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39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3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401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A39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A399F" w:rsidRDefault="000A3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1tLS0MLQwMLY0NbRU0lEKTi0uzszPAykwrAUAXth3bSwAAAA="/>
  </w:docVars>
  <w:rsids>
    <w:rsidRoot w:val="00350C15"/>
    <w:rsid w:val="00006AE6"/>
    <w:rsid w:val="00053829"/>
    <w:rsid w:val="000A399F"/>
    <w:rsid w:val="000C771E"/>
    <w:rsid w:val="0013401C"/>
    <w:rsid w:val="00196980"/>
    <w:rsid w:val="001C0C38"/>
    <w:rsid w:val="001D13FA"/>
    <w:rsid w:val="00261C50"/>
    <w:rsid w:val="002A5198"/>
    <w:rsid w:val="00350C15"/>
    <w:rsid w:val="00394A74"/>
    <w:rsid w:val="003B18F6"/>
    <w:rsid w:val="003F1629"/>
    <w:rsid w:val="003F1EF2"/>
    <w:rsid w:val="003F63F8"/>
    <w:rsid w:val="00437A13"/>
    <w:rsid w:val="00481CC5"/>
    <w:rsid w:val="004E6323"/>
    <w:rsid w:val="00596366"/>
    <w:rsid w:val="005D01CC"/>
    <w:rsid w:val="005D756A"/>
    <w:rsid w:val="00614953"/>
    <w:rsid w:val="006514EE"/>
    <w:rsid w:val="00681CFF"/>
    <w:rsid w:val="006C27A2"/>
    <w:rsid w:val="006D549F"/>
    <w:rsid w:val="006E4429"/>
    <w:rsid w:val="007225EB"/>
    <w:rsid w:val="00733842"/>
    <w:rsid w:val="007A765B"/>
    <w:rsid w:val="0089100A"/>
    <w:rsid w:val="008C7F9C"/>
    <w:rsid w:val="008E747C"/>
    <w:rsid w:val="00901A18"/>
    <w:rsid w:val="00924E74"/>
    <w:rsid w:val="00957B96"/>
    <w:rsid w:val="009E0BAA"/>
    <w:rsid w:val="009E2B27"/>
    <w:rsid w:val="00A32AE7"/>
    <w:rsid w:val="00A54065"/>
    <w:rsid w:val="00A70ACF"/>
    <w:rsid w:val="00AD340F"/>
    <w:rsid w:val="00B8372B"/>
    <w:rsid w:val="00B8422A"/>
    <w:rsid w:val="00BA1251"/>
    <w:rsid w:val="00BD7DAB"/>
    <w:rsid w:val="00C5514D"/>
    <w:rsid w:val="00C749F5"/>
    <w:rsid w:val="00D1786A"/>
    <w:rsid w:val="00D21E15"/>
    <w:rsid w:val="00D853F1"/>
    <w:rsid w:val="00DB2A97"/>
    <w:rsid w:val="00E07A65"/>
    <w:rsid w:val="00E2358B"/>
    <w:rsid w:val="00F219DB"/>
    <w:rsid w:val="00F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EB00"/>
  <w15:chartTrackingRefBased/>
  <w15:docId w15:val="{4835AC9B-8C11-46AD-A5C8-8747380F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15"/>
  </w:style>
  <w:style w:type="paragraph" w:styleId="Footer">
    <w:name w:val="footer"/>
    <w:basedOn w:val="Normal"/>
    <w:link w:val="FooterChar"/>
    <w:uiPriority w:val="99"/>
    <w:unhideWhenUsed/>
    <w:rsid w:val="0035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15"/>
  </w:style>
  <w:style w:type="paragraph" w:styleId="NormalWeb">
    <w:name w:val="Normal (Web)"/>
    <w:basedOn w:val="Normal"/>
    <w:uiPriority w:val="99"/>
    <w:semiHidden/>
    <w:unhideWhenUsed/>
    <w:rsid w:val="00BD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7DA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7DAB"/>
    <w:rPr>
      <w:color w:val="0000FF"/>
      <w:u w:val="single"/>
    </w:rPr>
  </w:style>
  <w:style w:type="character" w:customStyle="1" w:styleId="gray">
    <w:name w:val="gray"/>
    <w:basedOn w:val="DefaultParagraphFont"/>
    <w:rsid w:val="00BD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5/s-0038-1660790" TargetMode="External"/><Relationship Id="rId13" Type="http://schemas.openxmlformats.org/officeDocument/2006/relationships/hyperlink" Target="https://doi.org/10.5152/eurjrheum.2016.04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oi.org/10.1186/s40364-017-0097-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oi.org/10.1201/9781315137865-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molmed.2016.06.002" TargetMode="External"/><Relationship Id="rId10" Type="http://schemas.openxmlformats.org/officeDocument/2006/relationships/hyperlink" Target="https://doi.org/10.1007/978-3-319-99817-6_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berh.2017.09.003" TargetMode="External"/><Relationship Id="rId14" Type="http://schemas.openxmlformats.org/officeDocument/2006/relationships/hyperlink" Target="https://doi.org/10.1089/jwh.2017.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user</cp:lastModifiedBy>
  <cp:revision>2</cp:revision>
  <dcterms:created xsi:type="dcterms:W3CDTF">2021-06-19T23:23:00Z</dcterms:created>
  <dcterms:modified xsi:type="dcterms:W3CDTF">2021-06-19T23:23:00Z</dcterms:modified>
</cp:coreProperties>
</file>